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51" w:type="dxa"/>
        <w:tblInd w:w="-998" w:type="dxa"/>
        <w:tblLook w:val="04A0" w:firstRow="1" w:lastRow="0" w:firstColumn="1" w:lastColumn="0" w:noHBand="0" w:noVBand="1"/>
      </w:tblPr>
      <w:tblGrid>
        <w:gridCol w:w="1268"/>
        <w:gridCol w:w="14583"/>
      </w:tblGrid>
      <w:tr w:rsidR="00E957FD" w:rsidRPr="002B7FC4" w:rsidTr="00E957FD">
        <w:trPr>
          <w:trHeight w:val="239"/>
        </w:trPr>
        <w:tc>
          <w:tcPr>
            <w:tcW w:w="15851" w:type="dxa"/>
            <w:gridSpan w:val="2"/>
          </w:tcPr>
          <w:p w:rsidR="00E957FD" w:rsidRPr="00E957FD" w:rsidRDefault="00E957FD" w:rsidP="00BD4AA1">
            <w:pPr>
              <w:pBdr>
                <w:between w:val="single" w:sz="4" w:space="1" w:color="auto"/>
              </w:pBdr>
              <w:shd w:val="clear" w:color="auto" w:fill="FFFFFF"/>
              <w:rPr>
                <w:rFonts w:cstheme="minorHAnsi"/>
                <w:b/>
                <w:sz w:val="16"/>
                <w:szCs w:val="16"/>
              </w:rPr>
            </w:pPr>
            <w:r w:rsidRPr="00E957FD">
              <w:rPr>
                <w:rFonts w:cstheme="minorHAnsi"/>
                <w:b/>
                <w:sz w:val="16"/>
                <w:szCs w:val="16"/>
              </w:rPr>
              <w:t xml:space="preserve">Year 3 Reading Curriculum </w:t>
            </w:r>
          </w:p>
        </w:tc>
      </w:tr>
      <w:tr w:rsidR="00E957FD" w:rsidRPr="002B7FC4" w:rsidTr="005C64E2">
        <w:trPr>
          <w:trHeight w:val="374"/>
        </w:trPr>
        <w:tc>
          <w:tcPr>
            <w:tcW w:w="1268" w:type="dxa"/>
            <w:vMerge w:val="restart"/>
            <w:vAlign w:val="center"/>
          </w:tcPr>
          <w:p w:rsidR="00E957FD" w:rsidRPr="00E957FD" w:rsidRDefault="00E957FD" w:rsidP="00E957FD">
            <w:pPr>
              <w:jc w:val="center"/>
              <w:rPr>
                <w:rFonts w:cstheme="minorHAnsi"/>
                <w:b/>
                <w:sz w:val="16"/>
                <w:szCs w:val="16"/>
              </w:rPr>
            </w:pPr>
            <w:r w:rsidRPr="00E957FD">
              <w:rPr>
                <w:rFonts w:cstheme="minorHAnsi"/>
                <w:b/>
                <w:sz w:val="16"/>
                <w:szCs w:val="16"/>
              </w:rPr>
              <w:t>Word Reading</w:t>
            </w:r>
          </w:p>
        </w:tc>
        <w:tc>
          <w:tcPr>
            <w:tcW w:w="14583" w:type="dxa"/>
            <w:tcBorders>
              <w:top w:val="nil"/>
            </w:tcBorders>
          </w:tcPr>
          <w:p w:rsidR="00E957FD" w:rsidRPr="00E957FD" w:rsidRDefault="00E957FD" w:rsidP="00BD4AA1">
            <w:pPr>
              <w:shd w:val="clear" w:color="auto" w:fill="FFFFFF"/>
              <w:ind w:left="-60"/>
              <w:rPr>
                <w:rFonts w:eastAsia="Times New Roman" w:cstheme="minorHAnsi"/>
                <w:color w:val="0B0C0C"/>
                <w:sz w:val="16"/>
                <w:szCs w:val="16"/>
                <w:lang w:eastAsia="en-GB"/>
              </w:rPr>
            </w:pPr>
            <w:r w:rsidRPr="00E957FD">
              <w:rPr>
                <w:rFonts w:cstheme="minorHAnsi"/>
                <w:sz w:val="16"/>
                <w:szCs w:val="16"/>
              </w:rPr>
              <w:t>apply their growing knowledge of root words, prefixes and suffixes (etymology and morphology) as listed in English Appendix 1, both to read aloud and to understand the meaning of new words they meet</w:t>
            </w:r>
          </w:p>
        </w:tc>
      </w:tr>
      <w:tr w:rsidR="00E957FD" w:rsidRPr="002B7FC4" w:rsidTr="005C64E2">
        <w:trPr>
          <w:trHeight w:val="221"/>
        </w:trPr>
        <w:tc>
          <w:tcPr>
            <w:tcW w:w="1268" w:type="dxa"/>
            <w:vMerge/>
            <w:textDirection w:val="btLr"/>
          </w:tcPr>
          <w:p w:rsidR="00E957FD" w:rsidRPr="00E957FD" w:rsidRDefault="00E957FD" w:rsidP="00BD4AA1">
            <w:pPr>
              <w:ind w:left="113" w:right="113"/>
              <w:jc w:val="center"/>
              <w:rPr>
                <w:rFonts w:cstheme="minorHAnsi"/>
                <w:b/>
                <w:sz w:val="16"/>
                <w:szCs w:val="16"/>
              </w:rPr>
            </w:pPr>
          </w:p>
        </w:tc>
        <w:tc>
          <w:tcPr>
            <w:tcW w:w="14583" w:type="dxa"/>
            <w:tcBorders>
              <w:top w:val="nil"/>
            </w:tcBorders>
          </w:tcPr>
          <w:p w:rsidR="00E957FD" w:rsidRPr="00E957FD" w:rsidRDefault="00E957FD" w:rsidP="00BD4AA1">
            <w:pPr>
              <w:shd w:val="clear" w:color="auto" w:fill="FFFFFF"/>
              <w:ind w:left="-60"/>
              <w:rPr>
                <w:rFonts w:eastAsia="Times New Roman" w:cstheme="minorHAnsi"/>
                <w:color w:val="0B0C0C"/>
                <w:sz w:val="16"/>
                <w:szCs w:val="16"/>
                <w:lang w:eastAsia="en-GB"/>
              </w:rPr>
            </w:pPr>
            <w:r w:rsidRPr="00E957FD">
              <w:rPr>
                <w:rFonts w:cstheme="minorHAnsi"/>
                <w:sz w:val="16"/>
                <w:szCs w:val="16"/>
              </w:rPr>
              <w:t>read further exception words, noting the unusual correspondences between spelling and sound, and where these occur in the word.</w:t>
            </w:r>
          </w:p>
        </w:tc>
      </w:tr>
      <w:tr w:rsidR="005C64E2" w:rsidRPr="002B7FC4" w:rsidTr="005C64E2">
        <w:trPr>
          <w:trHeight w:val="141"/>
        </w:trPr>
        <w:tc>
          <w:tcPr>
            <w:tcW w:w="1268" w:type="dxa"/>
            <w:vMerge w:val="restart"/>
            <w:vAlign w:val="center"/>
          </w:tcPr>
          <w:p w:rsidR="005C64E2" w:rsidRPr="00E957FD" w:rsidRDefault="005C64E2" w:rsidP="005C64E2">
            <w:pPr>
              <w:jc w:val="center"/>
              <w:rPr>
                <w:rFonts w:cstheme="minorHAnsi"/>
                <w:b/>
                <w:sz w:val="16"/>
                <w:szCs w:val="16"/>
              </w:rPr>
            </w:pPr>
            <w:r w:rsidRPr="00E957FD">
              <w:rPr>
                <w:rFonts w:cstheme="minorHAnsi"/>
                <w:b/>
                <w:sz w:val="16"/>
                <w:szCs w:val="16"/>
              </w:rPr>
              <w:t>Comprehension</w:t>
            </w:r>
          </w:p>
        </w:tc>
        <w:tc>
          <w:tcPr>
            <w:tcW w:w="14583" w:type="dxa"/>
          </w:tcPr>
          <w:p w:rsidR="005C64E2" w:rsidRPr="005C64E2" w:rsidRDefault="005C64E2" w:rsidP="005C64E2">
            <w:pPr>
              <w:rPr>
                <w:rFonts w:cstheme="minorHAnsi"/>
                <w:sz w:val="16"/>
                <w:szCs w:val="16"/>
              </w:rPr>
            </w:pPr>
            <w:r w:rsidRPr="005C64E2">
              <w:rPr>
                <w:rFonts w:cstheme="minorHAnsi"/>
                <w:b/>
                <w:sz w:val="16"/>
                <w:szCs w:val="16"/>
              </w:rPr>
              <w:t xml:space="preserve">Pupils should be taught to: develop positive attitudes to reading and understanding of what they read by: </w:t>
            </w:r>
          </w:p>
        </w:tc>
      </w:tr>
      <w:tr w:rsidR="005C64E2" w:rsidRPr="002B7FC4" w:rsidTr="005C64E2">
        <w:trPr>
          <w:trHeight w:val="141"/>
        </w:trPr>
        <w:tc>
          <w:tcPr>
            <w:tcW w:w="1268" w:type="dxa"/>
            <w:vMerge/>
            <w:vAlign w:val="center"/>
          </w:tcPr>
          <w:p w:rsidR="005C64E2" w:rsidRPr="00E957FD" w:rsidRDefault="005C64E2" w:rsidP="005C64E2">
            <w:pPr>
              <w:jc w:val="cente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listening to and discussing a wide range of fiction, poetry, plays, non-fiction and reference books or textbooks</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reading books that are structured in different ways and reading for a range of purposes</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using dictionaries to check the meaning of words that they have read</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increasing their familiarity with a wide range of books, including fairy stories, myths and legends, and retelling some of these orally</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identifying themes and conventions in a wide range of books</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preparing poems and play scripts to read aloud and to perform, showing understanding through intonation, tone, volume and action</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discussing words and phrases that capture the reader’s interest and imagination</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recognising some different forms of poetry [for example, free verse, narrative poetry]</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5C64E2" w:rsidRDefault="005C64E2" w:rsidP="005C64E2">
            <w:pPr>
              <w:rPr>
                <w:rFonts w:cstheme="minorHAnsi"/>
                <w:sz w:val="16"/>
                <w:szCs w:val="16"/>
              </w:rPr>
            </w:pPr>
            <w:r w:rsidRPr="005C64E2">
              <w:rPr>
                <w:rFonts w:cstheme="minorHAnsi"/>
                <w:b/>
                <w:sz w:val="16"/>
                <w:szCs w:val="16"/>
              </w:rPr>
              <w:t>Pupils should be taught to: understand what they read, in books they can read independently, by:</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checking that the text makes sense to them, discussing their understanding and explaining the meaning of words in context</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asking questions to improve their understanding of a text</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drawing inferences such as inferring characters’ feelings, thoughts and motives from their actions, and justifying inferences with evidence</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predicting what might happen from details stated and implied</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identifying main ideas drawn from more than one paragraph and summarising these</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identifying how language, structure, and presentation contribute to meaning</w:t>
            </w:r>
          </w:p>
        </w:tc>
      </w:tr>
      <w:tr w:rsidR="005C64E2" w:rsidRPr="002B7FC4" w:rsidTr="005C64E2">
        <w:trPr>
          <w:trHeight w:val="141"/>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eastAsia="Times New Roman" w:cstheme="minorHAnsi"/>
                <w:color w:val="0B0C0C"/>
                <w:sz w:val="16"/>
                <w:szCs w:val="16"/>
                <w:lang w:eastAsia="en-GB"/>
              </w:rPr>
            </w:pPr>
            <w:r w:rsidRPr="00E957FD">
              <w:rPr>
                <w:rFonts w:cstheme="minorHAnsi"/>
                <w:sz w:val="16"/>
                <w:szCs w:val="16"/>
              </w:rPr>
              <w:t>retrieve and record information from non-fiction</w:t>
            </w:r>
          </w:p>
        </w:tc>
      </w:tr>
      <w:tr w:rsidR="005C64E2" w:rsidRPr="002B7FC4" w:rsidTr="005C64E2">
        <w:trPr>
          <w:trHeight w:val="167"/>
        </w:trPr>
        <w:tc>
          <w:tcPr>
            <w:tcW w:w="1268" w:type="dxa"/>
            <w:vMerge/>
          </w:tcPr>
          <w:p w:rsidR="005C64E2" w:rsidRPr="00E957FD" w:rsidRDefault="005C64E2" w:rsidP="005C64E2">
            <w:pPr>
              <w:rPr>
                <w:rFonts w:cstheme="minorHAnsi"/>
                <w:sz w:val="16"/>
                <w:szCs w:val="16"/>
              </w:rPr>
            </w:pPr>
          </w:p>
        </w:tc>
        <w:tc>
          <w:tcPr>
            <w:tcW w:w="14583" w:type="dxa"/>
          </w:tcPr>
          <w:p w:rsidR="005C64E2" w:rsidRPr="00E957FD" w:rsidRDefault="005C64E2" w:rsidP="005C64E2">
            <w:pPr>
              <w:shd w:val="clear" w:color="auto" w:fill="FFFFFF"/>
              <w:rPr>
                <w:rFonts w:cstheme="minorHAnsi"/>
                <w:sz w:val="16"/>
                <w:szCs w:val="16"/>
              </w:rPr>
            </w:pPr>
            <w:r w:rsidRPr="00E957FD">
              <w:rPr>
                <w:rFonts w:cstheme="minorHAnsi"/>
                <w:sz w:val="16"/>
                <w:szCs w:val="16"/>
              </w:rPr>
              <w:t>participate in discussion about both books that are read to them and those they can read for themselves, taking turns and listening to what others say.</w:t>
            </w:r>
          </w:p>
        </w:tc>
      </w:tr>
    </w:tbl>
    <w:p w:rsidR="00934FAF" w:rsidRPr="00C63C49" w:rsidRDefault="00934FAF">
      <w:pPr>
        <w:rPr>
          <w:rFonts w:cstheme="minorHAnsi"/>
        </w:rPr>
      </w:pPr>
    </w:p>
    <w:sectPr w:rsidR="00934FAF" w:rsidRPr="00C63C49" w:rsidSect="00BD4AA1">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795"/>
    <w:multiLevelType w:val="multilevel"/>
    <w:tmpl w:val="8804A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D171D"/>
    <w:multiLevelType w:val="multilevel"/>
    <w:tmpl w:val="F372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46268"/>
    <w:multiLevelType w:val="hybridMultilevel"/>
    <w:tmpl w:val="E246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20DB7"/>
    <w:multiLevelType w:val="hybridMultilevel"/>
    <w:tmpl w:val="C39CE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D9187F"/>
    <w:multiLevelType w:val="hybridMultilevel"/>
    <w:tmpl w:val="111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625CC"/>
    <w:multiLevelType w:val="hybridMultilevel"/>
    <w:tmpl w:val="EB62B29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201C46"/>
    <w:multiLevelType w:val="hybridMultilevel"/>
    <w:tmpl w:val="931AB9D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16cid:durableId="1923903852">
    <w:abstractNumId w:val="1"/>
  </w:num>
  <w:num w:numId="2" w16cid:durableId="2131438076">
    <w:abstractNumId w:val="0"/>
  </w:num>
  <w:num w:numId="3" w16cid:durableId="688069283">
    <w:abstractNumId w:val="6"/>
  </w:num>
  <w:num w:numId="4" w16cid:durableId="1107971731">
    <w:abstractNumId w:val="2"/>
  </w:num>
  <w:num w:numId="5" w16cid:durableId="1285500609">
    <w:abstractNumId w:val="4"/>
  </w:num>
  <w:num w:numId="6" w16cid:durableId="1193762769">
    <w:abstractNumId w:val="3"/>
  </w:num>
  <w:num w:numId="7" w16cid:durableId="496118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96"/>
    <w:rsid w:val="00106BE8"/>
    <w:rsid w:val="00157AA1"/>
    <w:rsid w:val="001B3D5F"/>
    <w:rsid w:val="001E4F58"/>
    <w:rsid w:val="002B7FC4"/>
    <w:rsid w:val="00310528"/>
    <w:rsid w:val="0041724A"/>
    <w:rsid w:val="00431D5E"/>
    <w:rsid w:val="00467AEA"/>
    <w:rsid w:val="0047798D"/>
    <w:rsid w:val="004B1CA1"/>
    <w:rsid w:val="005A2CF3"/>
    <w:rsid w:val="005C15BB"/>
    <w:rsid w:val="005C64E2"/>
    <w:rsid w:val="00695180"/>
    <w:rsid w:val="00706CD2"/>
    <w:rsid w:val="00786639"/>
    <w:rsid w:val="00804993"/>
    <w:rsid w:val="008E6694"/>
    <w:rsid w:val="00934FAF"/>
    <w:rsid w:val="009553EE"/>
    <w:rsid w:val="00992F4B"/>
    <w:rsid w:val="009A21DD"/>
    <w:rsid w:val="00A11696"/>
    <w:rsid w:val="00AB6BAC"/>
    <w:rsid w:val="00B301F4"/>
    <w:rsid w:val="00B90371"/>
    <w:rsid w:val="00BD4AA1"/>
    <w:rsid w:val="00BE2A10"/>
    <w:rsid w:val="00C63C49"/>
    <w:rsid w:val="00D81997"/>
    <w:rsid w:val="00E92B3F"/>
    <w:rsid w:val="00E957FD"/>
    <w:rsid w:val="00E96192"/>
    <w:rsid w:val="00F45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A5F6F-5B10-4571-8273-1D70D621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7681">
      <w:bodyDiv w:val="1"/>
      <w:marLeft w:val="0"/>
      <w:marRight w:val="0"/>
      <w:marTop w:val="0"/>
      <w:marBottom w:val="0"/>
      <w:divBdr>
        <w:top w:val="none" w:sz="0" w:space="0" w:color="auto"/>
        <w:left w:val="none" w:sz="0" w:space="0" w:color="auto"/>
        <w:bottom w:val="none" w:sz="0" w:space="0" w:color="auto"/>
        <w:right w:val="none" w:sz="0" w:space="0" w:color="auto"/>
      </w:divBdr>
    </w:div>
    <w:div w:id="19573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Aldridge</dc:creator>
  <cp:keywords/>
  <dc:description/>
  <cp:lastModifiedBy>Kevin Trigg</cp:lastModifiedBy>
  <cp:revision>3</cp:revision>
  <dcterms:created xsi:type="dcterms:W3CDTF">2024-09-01T21:49:00Z</dcterms:created>
  <dcterms:modified xsi:type="dcterms:W3CDTF">2024-09-01T21:56:00Z</dcterms:modified>
</cp:coreProperties>
</file>